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AD" w:rsidRDefault="00CF203B" w:rsidP="00CF20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13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С 23 январ</w:t>
      </w:r>
      <w:r w:rsidR="00CE4135">
        <w:rPr>
          <w:rFonts w:ascii="Times New Roman" w:hAnsi="Times New Roman" w:cs="Times New Roman"/>
          <w:sz w:val="28"/>
          <w:szCs w:val="28"/>
        </w:rPr>
        <w:t>я 2025 года вступило в силу Пост</w:t>
      </w:r>
      <w:r>
        <w:rPr>
          <w:rFonts w:ascii="Times New Roman" w:hAnsi="Times New Roman" w:cs="Times New Roman"/>
          <w:sz w:val="28"/>
          <w:szCs w:val="28"/>
        </w:rPr>
        <w:t>ановление Совета Министров Республики Беларусь от 21.01.2025 № 31 «О вопросах обращения с коммунальными отходами», которым установлено, что обращение с коммунальными отходами осуществляется в соответствии с техническими требованиями технического кодекса установившейся практики ТКП 17.11-08-2024 (33040/33140) «Охрана окружаю</w:t>
      </w:r>
      <w:r w:rsidR="00CE4135">
        <w:rPr>
          <w:rFonts w:ascii="Times New Roman" w:hAnsi="Times New Roman" w:cs="Times New Roman"/>
          <w:sz w:val="28"/>
          <w:szCs w:val="28"/>
        </w:rPr>
        <w:t>щей сре</w:t>
      </w:r>
      <w:r>
        <w:rPr>
          <w:rFonts w:ascii="Times New Roman" w:hAnsi="Times New Roman" w:cs="Times New Roman"/>
          <w:sz w:val="28"/>
          <w:szCs w:val="28"/>
        </w:rPr>
        <w:t>ды и природопользование. Технические требования к обращению с коммунальными отходами» (ТКП 17.11-08-2024), который предназначен для применения юридическими лицами, индивидуальными предпринимателями, физическими лицами, являющимися производителями коммунальных отходов и осуществляющими обращение с коммунальными отходами. В соответствии с требованиями ТКП 17.11-08-2024 раздельному сбору подлежат следующие комунальные отходы потребления: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бумаги и картона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стекла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пластмасс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металла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древесные от</w:t>
      </w:r>
      <w:r w:rsidR="00CE413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оды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-изношенные шины</w:t>
      </w:r>
    </w:p>
    <w:p w:rsidR="00CF203B" w:rsidRDefault="00CE4135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</w:t>
      </w:r>
      <w:r w:rsidR="00CF203B">
        <w:rPr>
          <w:rFonts w:ascii="Times New Roman" w:hAnsi="Times New Roman" w:cs="Times New Roman"/>
          <w:sz w:val="28"/>
          <w:szCs w:val="28"/>
        </w:rPr>
        <w:t>ительные отходы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крупногабаритные отходы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</w:t>
      </w:r>
      <w:r w:rsidR="00CE413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ительные отходы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электрического и электронного оборудования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отработанных масел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ртутьсодержащие отходы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пищевые отходы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элементов питания</w:t>
      </w:r>
    </w:p>
    <w:p w:rsidR="00CF203B" w:rsidRDefault="00CF203B" w:rsidP="00CE41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отходы лекарственных средств</w:t>
      </w:r>
    </w:p>
    <w:p w:rsidR="00CF203B" w:rsidRPr="00CF203B" w:rsidRDefault="00CE4135" w:rsidP="00CE4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203B">
        <w:rPr>
          <w:rFonts w:ascii="Times New Roman" w:hAnsi="Times New Roman" w:cs="Times New Roman"/>
          <w:sz w:val="28"/>
          <w:szCs w:val="28"/>
        </w:rPr>
        <w:t>Размещение вышеперечисленных отходов в контейнеры, предназначенные для смешанных коммунальных отходов, не допускается и влечет административную ответственность в соответвтсии с частью 3 статьи 16.44 КоАП РБ в размере до 30 базовы</w:t>
      </w:r>
      <w:r>
        <w:rPr>
          <w:rFonts w:ascii="Times New Roman" w:hAnsi="Times New Roman" w:cs="Times New Roman"/>
          <w:sz w:val="28"/>
          <w:szCs w:val="28"/>
        </w:rPr>
        <w:t>х величин, на индивидуального пр</w:t>
      </w:r>
      <w:r w:rsidR="00CF203B">
        <w:rPr>
          <w:rFonts w:ascii="Times New Roman" w:hAnsi="Times New Roman" w:cs="Times New Roman"/>
          <w:sz w:val="28"/>
          <w:szCs w:val="28"/>
        </w:rPr>
        <w:t>едпринимателя – до 100 базовых величин, на юридическое лицо – до 1000 базовых величин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F203B" w:rsidRPr="00CF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0"/>
    <w:rsid w:val="00330340"/>
    <w:rsid w:val="00CE4135"/>
    <w:rsid w:val="00CF203B"/>
    <w:rsid w:val="00D2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77EF49-4F75-4DCC-82F5-F3E1F8D0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2025-01-30T12:08:00Z</dcterms:created>
  <dcterms:modified xsi:type="dcterms:W3CDTF">2025-01-30T12:23:00Z</dcterms:modified>
</cp:coreProperties>
</file>