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99" w:rsidRDefault="00A34899" w:rsidP="00A348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4899">
        <w:rPr>
          <w:rFonts w:ascii="Times New Roman" w:hAnsi="Times New Roman" w:cs="Times New Roman"/>
          <w:sz w:val="28"/>
          <w:szCs w:val="28"/>
        </w:rPr>
        <w:t xml:space="preserve">Верхнедвинская </w:t>
      </w:r>
      <w:r>
        <w:rPr>
          <w:rFonts w:ascii="Times New Roman" w:hAnsi="Times New Roman" w:cs="Times New Roman"/>
          <w:sz w:val="28"/>
          <w:szCs w:val="28"/>
        </w:rPr>
        <w:t xml:space="preserve">районная инспекция природных ресурсов и охраны окружающей среды НАПОМИНАЕТ! </w:t>
      </w:r>
    </w:p>
    <w:p w:rsidR="00A34899" w:rsidRDefault="00A34899" w:rsidP="00A348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Запрещена стоянка механических транспортных средств ближе 30 метров по горизонтали от береговой линии, если иное не установлено Президен</w:t>
      </w:r>
      <w:r w:rsidR="00BE122E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ом Республики Беларусь (подпункт 1.1 статьи 54 Водного кодекса Республики Беларусь). </w:t>
      </w:r>
    </w:p>
    <w:p w:rsidR="00EB75E6" w:rsidRPr="00A34899" w:rsidRDefault="00A34899" w:rsidP="00A348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Ответственность за невыполнение вышеуказанных требований предусмотрена частью 2 статьи 16.34 Кодекса Республики Беларусь об административных правонарушениях в виде штрафа в размере до 10 базовых величин, на индивидуального предпринимателя – до 25 базовых величин, на юридичесое лицо – до 50 базовых величин.</w:t>
      </w:r>
    </w:p>
    <w:sectPr w:rsidR="00EB75E6" w:rsidRPr="00A3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CF"/>
    <w:rsid w:val="000D13CF"/>
    <w:rsid w:val="00A34899"/>
    <w:rsid w:val="00BE122E"/>
    <w:rsid w:val="00EB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6D79E9-7463-4D79-B876-53AB097C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2025-05-19T09:45:00Z</dcterms:created>
  <dcterms:modified xsi:type="dcterms:W3CDTF">2025-05-19T10:23:00Z</dcterms:modified>
</cp:coreProperties>
</file>